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7DC" w:rsidRDefault="006247DC" w:rsidP="006247DC">
      <w:pPr>
        <w:spacing w:before="100" w:beforeAutospacing="1" w:after="100" w:afterAutospacing="1" w:line="240" w:lineRule="auto"/>
        <w:jc w:val="center"/>
        <w:outlineLvl w:val="3"/>
        <w:rPr>
          <w:rFonts w:ascii="Times New Roman" w:eastAsia="Times New Roman" w:hAnsi="Times New Roman" w:cs="Times New Roman"/>
          <w:b/>
          <w:bCs/>
          <w:sz w:val="24"/>
          <w:szCs w:val="24"/>
          <w:lang w:eastAsia="en-GB"/>
        </w:rPr>
      </w:pPr>
      <w:r w:rsidRPr="006247DC">
        <w:rPr>
          <w:rFonts w:ascii="Times New Roman" w:eastAsia="Times New Roman" w:hAnsi="Times New Roman" w:cs="Times New Roman"/>
          <w:b/>
          <w:bCs/>
          <w:sz w:val="24"/>
          <w:szCs w:val="24"/>
          <w:lang w:eastAsia="en-GB"/>
        </w:rPr>
        <w:t>​</w:t>
      </w:r>
    </w:p>
    <w:p w:rsidR="007F7115" w:rsidRDefault="007F7115" w:rsidP="006247DC">
      <w:pPr>
        <w:spacing w:before="100" w:beforeAutospacing="1" w:after="100" w:afterAutospacing="1" w:line="240" w:lineRule="auto"/>
        <w:jc w:val="center"/>
        <w:outlineLvl w:val="3"/>
        <w:rPr>
          <w:rFonts w:ascii="Times New Roman" w:eastAsia="Times New Roman" w:hAnsi="Times New Roman" w:cs="Times New Roman"/>
          <w:b/>
          <w:bCs/>
          <w:sz w:val="24"/>
          <w:szCs w:val="24"/>
          <w:lang w:eastAsia="en-GB"/>
        </w:rPr>
      </w:pPr>
    </w:p>
    <w:p w:rsidR="007F7115" w:rsidRPr="006247DC" w:rsidRDefault="007F7115" w:rsidP="006247DC">
      <w:pPr>
        <w:spacing w:before="100" w:beforeAutospacing="1" w:after="100" w:afterAutospacing="1" w:line="240" w:lineRule="auto"/>
        <w:jc w:val="center"/>
        <w:outlineLvl w:val="3"/>
        <w:rPr>
          <w:rFonts w:ascii="Times New Roman" w:eastAsia="Times New Roman" w:hAnsi="Times New Roman" w:cs="Times New Roman"/>
          <w:b/>
          <w:bCs/>
          <w:sz w:val="24"/>
          <w:szCs w:val="24"/>
          <w:lang w:eastAsia="en-GB"/>
        </w:rPr>
      </w:pPr>
    </w:p>
    <w:p w:rsidR="007F7115" w:rsidRPr="007F7115" w:rsidRDefault="007F7115" w:rsidP="007F7115">
      <w:p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b/>
          <w:bCs/>
          <w:color w:val="0066B0"/>
          <w:sz w:val="21"/>
          <w:szCs w:val="21"/>
          <w:lang w:eastAsia="en-GB"/>
        </w:rPr>
        <w:t>Consent</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The conditions for consent have been strengthened, and companies will no longer be able to use long illegible terms and conditions full of legalese, as the request for consent must be given in an intelligible and easily accessible form, with the purpose for data processing attached to that consent. Consent must be clear and distinguishable from other matters and provided in an intelligible and easily accessible form, using clear and plain language. It must be as easy to withdraw consent as it is to give it.</w:t>
      </w:r>
      <w:r w:rsidRPr="007F7115">
        <w:rPr>
          <w:rFonts w:ascii="Arial" w:eastAsia="Times New Roman" w:hAnsi="Arial" w:cs="Arial"/>
          <w:sz w:val="21"/>
          <w:szCs w:val="21"/>
          <w:lang w:eastAsia="en-GB"/>
        </w:rPr>
        <w:t>​</w:t>
      </w:r>
      <w:r w:rsidRPr="007F7115">
        <w:rPr>
          <w:rFonts w:ascii="Times New Roman" w:eastAsia="Times New Roman" w:hAnsi="Times New Roman" w:cs="Times New Roman"/>
          <w:sz w:val="24"/>
          <w:szCs w:val="24"/>
          <w:lang w:eastAsia="en-GB"/>
        </w:rPr>
        <w:br/>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color w:val="000000"/>
          <w:sz w:val="24"/>
          <w:szCs w:val="24"/>
          <w:u w:val="single"/>
          <w:lang w:eastAsia="en-GB"/>
        </w:rPr>
        <w:t>Data Subject Rights</w:t>
      </w:r>
      <w:r w:rsidRPr="007F7115">
        <w:rPr>
          <w:rFonts w:ascii="Trebuchet MS" w:eastAsia="Times New Roman" w:hAnsi="Trebuchet MS" w:cs="Times New Roman"/>
          <w:color w:val="000000"/>
          <w:sz w:val="24"/>
          <w:szCs w:val="24"/>
          <w:u w:val="single"/>
          <w:lang w:eastAsia="en-GB"/>
        </w:rPr>
        <w:br/>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color w:val="0066B0"/>
          <w:sz w:val="21"/>
          <w:szCs w:val="21"/>
          <w:lang w:eastAsia="en-GB"/>
        </w:rPr>
        <w:t>Breach Notification</w:t>
      </w:r>
    </w:p>
    <w:p w:rsidR="007F7115" w:rsidRPr="007F7115" w:rsidRDefault="007F7115" w:rsidP="007F7115">
      <w:p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Under the GDPR, breach notification will become mandatory in all member states where a data breach is likely to “result in a risk for the rights and freedoms of individuals”. This must be done within 72 hours of first having become aware of the breach. Data processors will also be required to notify their customers, the controllers, “without undue delay” after first becoming aware of a data breach. </w:t>
      </w:r>
    </w:p>
    <w:p w:rsidR="007F7115" w:rsidRPr="007F7115" w:rsidRDefault="007F7115" w:rsidP="007F7115">
      <w:pPr>
        <w:spacing w:before="100" w:beforeAutospacing="1" w:after="100" w:afterAutospacing="1" w:line="240" w:lineRule="auto"/>
        <w:rPr>
          <w:rFonts w:ascii="Times New Roman" w:eastAsia="Times New Roman" w:hAnsi="Times New Roman" w:cs="Times New Roman"/>
          <w:sz w:val="24"/>
          <w:szCs w:val="24"/>
          <w:lang w:eastAsia="en-GB"/>
        </w:rPr>
      </w:pPr>
    </w:p>
    <w:p w:rsidR="007F7115" w:rsidRPr="007F7115" w:rsidRDefault="007F7115" w:rsidP="007F7115">
      <w:p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b/>
          <w:bCs/>
          <w:color w:val="0066B0"/>
          <w:sz w:val="21"/>
          <w:szCs w:val="21"/>
          <w:lang w:eastAsia="en-GB"/>
        </w:rPr>
        <w:t>Right to Access</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Part of the expanded rights of data subjects outlined by the GDPR is the right for data subjects to obtain from the data controller confirmation as to whether or not personal data concerning them is being processed, where and for what purpose. Further, the controller shall provide a copy of the personal data, free of charge, in an electronic format. This change is a dramatic shift to data transparency and empowerment of data subjects.</w:t>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color w:val="0066B0"/>
          <w:sz w:val="21"/>
          <w:szCs w:val="21"/>
          <w:lang w:eastAsia="en-GB"/>
        </w:rPr>
        <w:t>Right to be Forgotten</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Also known as Data Erasure, the right to be forgotten entitles the data subject to have the data controller erase his/her personal data, cease further dissemination of the data, and potentially have third parties halt processing of the data. The conditions for erasure, as outlined in article 17, include the data no longer being relevant to original purposes for processing, or a data subjects withdrawing consent. It should also be noted that this right requires controllers to compare the subjects' rights to "the public interest in the availability of the data" when considering such requests.</w:t>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sz w:val="21"/>
          <w:szCs w:val="21"/>
          <w:lang w:eastAsia="en-GB"/>
        </w:rPr>
        <w:br/>
      </w:r>
      <w:r w:rsidRPr="007F7115">
        <w:rPr>
          <w:rFonts w:ascii="Trebuchet MS" w:eastAsia="Times New Roman" w:hAnsi="Trebuchet MS" w:cs="Times New Roman"/>
          <w:b/>
          <w:bCs/>
          <w:color w:val="0066B0"/>
          <w:sz w:val="21"/>
          <w:szCs w:val="21"/>
          <w:lang w:eastAsia="en-GB"/>
        </w:rPr>
        <w:t>Data Portability</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GDPR introduces data portability - the right for a data subject to receive the personal data concerning them, which they have previously provided in a '</w:t>
      </w:r>
      <w:r w:rsidRPr="007F7115">
        <w:rPr>
          <w:rFonts w:ascii="Trebuchet MS" w:eastAsia="Times New Roman" w:hAnsi="Trebuchet MS" w:cs="Times New Roman"/>
          <w:i/>
          <w:iCs/>
          <w:sz w:val="21"/>
          <w:szCs w:val="21"/>
          <w:lang w:eastAsia="en-GB"/>
        </w:rPr>
        <w:t>commonly use and machine readable format</w:t>
      </w:r>
      <w:r w:rsidRPr="007F7115">
        <w:rPr>
          <w:rFonts w:ascii="Trebuchet MS" w:eastAsia="Times New Roman" w:hAnsi="Trebuchet MS" w:cs="Times New Roman"/>
          <w:sz w:val="21"/>
          <w:szCs w:val="21"/>
          <w:lang w:eastAsia="en-GB"/>
        </w:rPr>
        <w:t>' and have the right to transmit that data to another controller. </w:t>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sz w:val="21"/>
          <w:szCs w:val="21"/>
          <w:lang w:eastAsia="en-GB"/>
        </w:rPr>
        <w:br/>
      </w:r>
      <w:r w:rsidRPr="007F7115">
        <w:rPr>
          <w:rFonts w:ascii="Trebuchet MS" w:eastAsia="Times New Roman" w:hAnsi="Trebuchet MS" w:cs="Times New Roman"/>
          <w:b/>
          <w:bCs/>
          <w:color w:val="0066B0"/>
          <w:sz w:val="21"/>
          <w:szCs w:val="21"/>
          <w:lang w:eastAsia="en-GB"/>
        </w:rPr>
        <w:t>Privacy by Design</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 xml:space="preserve">Privacy by design as a concept has existed for years now, but it is only just becoming part of a legal requirement with the GDPR. At </w:t>
      </w:r>
      <w:proofErr w:type="spellStart"/>
      <w:r w:rsidRPr="007F7115">
        <w:rPr>
          <w:rFonts w:ascii="Trebuchet MS" w:eastAsia="Times New Roman" w:hAnsi="Trebuchet MS" w:cs="Times New Roman"/>
          <w:sz w:val="21"/>
          <w:szCs w:val="21"/>
          <w:lang w:eastAsia="en-GB"/>
        </w:rPr>
        <w:t>it’s</w:t>
      </w:r>
      <w:proofErr w:type="spellEnd"/>
      <w:r w:rsidRPr="007F7115">
        <w:rPr>
          <w:rFonts w:ascii="Trebuchet MS" w:eastAsia="Times New Roman" w:hAnsi="Trebuchet MS" w:cs="Times New Roman"/>
          <w:sz w:val="21"/>
          <w:szCs w:val="21"/>
          <w:lang w:eastAsia="en-GB"/>
        </w:rPr>
        <w:t xml:space="preserve"> core, privacy by design calls for the inclusion of data protection from the onset of the designing of systems, rather than an addition. More specifically -</w:t>
      </w:r>
      <w:r w:rsidRPr="007F7115">
        <w:rPr>
          <w:rFonts w:ascii="Trebuchet MS" w:eastAsia="Times New Roman" w:hAnsi="Trebuchet MS" w:cs="Times New Roman"/>
          <w:i/>
          <w:iCs/>
          <w:sz w:val="21"/>
          <w:szCs w:val="21"/>
          <w:lang w:eastAsia="en-GB"/>
        </w:rPr>
        <w:t xml:space="preserve"> 'The controller </w:t>
      </w:r>
      <w:proofErr w:type="spellStart"/>
      <w:proofErr w:type="gramStart"/>
      <w:r w:rsidRPr="007F7115">
        <w:rPr>
          <w:rFonts w:ascii="Trebuchet MS" w:eastAsia="Times New Roman" w:hAnsi="Trebuchet MS" w:cs="Times New Roman"/>
          <w:i/>
          <w:iCs/>
          <w:sz w:val="21"/>
          <w:szCs w:val="21"/>
          <w:lang w:eastAsia="en-GB"/>
        </w:rPr>
        <w:t>shall..</w:t>
      </w:r>
      <w:proofErr w:type="gramEnd"/>
      <w:r w:rsidRPr="007F7115">
        <w:rPr>
          <w:rFonts w:ascii="Trebuchet MS" w:eastAsia="Times New Roman" w:hAnsi="Trebuchet MS" w:cs="Times New Roman"/>
          <w:i/>
          <w:iCs/>
          <w:sz w:val="21"/>
          <w:szCs w:val="21"/>
          <w:lang w:eastAsia="en-GB"/>
        </w:rPr>
        <w:t>implement</w:t>
      </w:r>
      <w:proofErr w:type="spellEnd"/>
      <w:r w:rsidRPr="007F7115">
        <w:rPr>
          <w:rFonts w:ascii="Trebuchet MS" w:eastAsia="Times New Roman" w:hAnsi="Trebuchet MS" w:cs="Times New Roman"/>
          <w:i/>
          <w:iCs/>
          <w:sz w:val="21"/>
          <w:szCs w:val="21"/>
          <w:lang w:eastAsia="en-GB"/>
        </w:rPr>
        <w:t xml:space="preserve"> appropriate technical and organisational </w:t>
      </w:r>
      <w:proofErr w:type="spellStart"/>
      <w:r w:rsidRPr="007F7115">
        <w:rPr>
          <w:rFonts w:ascii="Trebuchet MS" w:eastAsia="Times New Roman" w:hAnsi="Trebuchet MS" w:cs="Times New Roman"/>
          <w:i/>
          <w:iCs/>
          <w:sz w:val="21"/>
          <w:szCs w:val="21"/>
          <w:lang w:eastAsia="en-GB"/>
        </w:rPr>
        <w:t>measures..in</w:t>
      </w:r>
      <w:proofErr w:type="spellEnd"/>
      <w:r w:rsidRPr="007F7115">
        <w:rPr>
          <w:rFonts w:ascii="Trebuchet MS" w:eastAsia="Times New Roman" w:hAnsi="Trebuchet MS" w:cs="Times New Roman"/>
          <w:i/>
          <w:iCs/>
          <w:sz w:val="21"/>
          <w:szCs w:val="21"/>
          <w:lang w:eastAsia="en-GB"/>
        </w:rPr>
        <w:t xml:space="preserve"> an effective way.. in order to meet the requirements of this Regulation and protect the rights of data subjects'.</w:t>
      </w:r>
      <w:r w:rsidRPr="007F7115">
        <w:rPr>
          <w:rFonts w:ascii="Trebuchet MS" w:eastAsia="Times New Roman" w:hAnsi="Trebuchet MS" w:cs="Times New Roman"/>
          <w:sz w:val="21"/>
          <w:szCs w:val="21"/>
          <w:lang w:eastAsia="en-GB"/>
        </w:rPr>
        <w:t xml:space="preserve"> Article 23 calls for controllers to hold and process only the data absolutely necessary for the completion of its duties (data minimisation), as well as </w:t>
      </w:r>
      <w:r w:rsidRPr="007F7115">
        <w:rPr>
          <w:rFonts w:ascii="Trebuchet MS" w:eastAsia="Times New Roman" w:hAnsi="Trebuchet MS" w:cs="Times New Roman"/>
          <w:sz w:val="21"/>
          <w:szCs w:val="21"/>
          <w:lang w:eastAsia="en-GB"/>
        </w:rPr>
        <w:lastRenderedPageBreak/>
        <w:t>limiting the access to personal data to those needing to act out the processing. </w:t>
      </w:r>
      <w:r w:rsidRPr="007F7115">
        <w:rPr>
          <w:rFonts w:ascii="Trebuchet MS" w:eastAsia="Times New Roman" w:hAnsi="Trebuchet MS" w:cs="Times New Roman"/>
          <w:sz w:val="21"/>
          <w:szCs w:val="21"/>
          <w:lang w:eastAsia="en-GB"/>
        </w:rPr>
        <w:br/>
      </w:r>
      <w:r w:rsidRPr="007F7115">
        <w:rPr>
          <w:rFonts w:ascii="Trebuchet MS" w:eastAsia="Times New Roman" w:hAnsi="Trebuchet MS" w:cs="Times New Roman"/>
          <w:b/>
          <w:bCs/>
          <w:sz w:val="21"/>
          <w:szCs w:val="21"/>
          <w:lang w:eastAsia="en-GB"/>
        </w:rPr>
        <w:br/>
      </w:r>
      <w:r w:rsidRPr="007F7115">
        <w:rPr>
          <w:rFonts w:ascii="Trebuchet MS" w:eastAsia="Times New Roman" w:hAnsi="Trebuchet MS" w:cs="Times New Roman"/>
          <w:b/>
          <w:bCs/>
          <w:color w:val="0066B0"/>
          <w:sz w:val="21"/>
          <w:szCs w:val="21"/>
          <w:lang w:eastAsia="en-GB"/>
        </w:rPr>
        <w:t>Data Protection Officers</w:t>
      </w:r>
      <w:r w:rsidRPr="007F7115">
        <w:rPr>
          <w:rFonts w:ascii="Trebuchet MS" w:eastAsia="Times New Roman" w:hAnsi="Trebuchet MS" w:cs="Times New Roman"/>
          <w:color w:val="0066B0"/>
          <w:sz w:val="21"/>
          <w:szCs w:val="21"/>
          <w:lang w:eastAsia="en-GB"/>
        </w:rPr>
        <w:br/>
      </w:r>
      <w:r w:rsidRPr="007F7115">
        <w:rPr>
          <w:rFonts w:ascii="Trebuchet MS" w:eastAsia="Times New Roman" w:hAnsi="Trebuchet MS" w:cs="Times New Roman"/>
          <w:sz w:val="21"/>
          <w:szCs w:val="21"/>
          <w:lang w:eastAsia="en-GB"/>
        </w:rPr>
        <w:t xml:space="preserve">Currently, controllers are required to notify their data processing activities with local DPAs, which, for multinationals, can be a bureaucratic nightmare with most Member States having different notification requirements. Under GDPR it will not be necessary to submit notifications / registrations to each local DPA of data processing activities, nor will it be a requirement to notify / obtain approval for transfers based on the Model Contract Clauses (MCCs). Instead, there will be internal record keeping requirements, as further explained below, and DPO appointment will be mandatory only for those controllers and processors whose core activities consist of processing operations which require regular and systematic monitoring of data subjects on a large scale or of special categories of data or data relating to criminal convictions and offences. Importantly, the DPO: </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Must be appointed on the basis of professional qualities and, in particular, expert knowledge on data protection law and practices</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May be a staff member or an external service provider</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Contact details must be provided to the relevant DPA</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Must be provided with appropriate resources to carry out their tasks and maintain their expert knowledge</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Must report directly to the highest level of management</w:t>
      </w:r>
    </w:p>
    <w:p w:rsidR="007F7115" w:rsidRPr="007F7115" w:rsidRDefault="007F7115" w:rsidP="007F7115">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7F7115">
        <w:rPr>
          <w:rFonts w:ascii="Trebuchet MS" w:eastAsia="Times New Roman" w:hAnsi="Trebuchet MS" w:cs="Times New Roman"/>
          <w:sz w:val="21"/>
          <w:szCs w:val="21"/>
          <w:lang w:eastAsia="en-GB"/>
        </w:rPr>
        <w:t xml:space="preserve">Must not carry out any other tasks that could results in a conflict of </w:t>
      </w:r>
      <w:proofErr w:type="gramStart"/>
      <w:r w:rsidRPr="007F7115">
        <w:rPr>
          <w:rFonts w:ascii="Trebuchet MS" w:eastAsia="Times New Roman" w:hAnsi="Trebuchet MS" w:cs="Times New Roman"/>
          <w:sz w:val="21"/>
          <w:szCs w:val="21"/>
          <w:lang w:eastAsia="en-GB"/>
        </w:rPr>
        <w:t>interest.</w:t>
      </w:r>
      <w:r w:rsidRPr="007F7115">
        <w:rPr>
          <w:rFonts w:ascii="Times New Roman" w:eastAsia="Times New Roman" w:hAnsi="Times New Roman" w:cs="Times New Roman"/>
          <w:sz w:val="24"/>
          <w:szCs w:val="24"/>
          <w:lang w:eastAsia="en-GB"/>
        </w:rPr>
        <w:t>​</w:t>
      </w:r>
      <w:proofErr w:type="gramEnd"/>
    </w:p>
    <w:p w:rsidR="007F7115" w:rsidRDefault="007F7115" w:rsidP="006247DC">
      <w:pPr>
        <w:spacing w:before="100" w:beforeAutospacing="1" w:after="100" w:afterAutospacing="1" w:line="240" w:lineRule="auto"/>
        <w:rPr>
          <w:rFonts w:ascii="Trebuchet MS" w:eastAsia="Times New Roman" w:hAnsi="Trebuchet MS" w:cs="Times New Roman"/>
          <w:sz w:val="24"/>
          <w:szCs w:val="24"/>
          <w:lang w:eastAsia="en-GB"/>
        </w:rPr>
      </w:pPr>
    </w:p>
    <w:p w:rsidR="006247DC" w:rsidRPr="006247DC" w:rsidRDefault="006247DC" w:rsidP="006247DC">
      <w:pPr>
        <w:spacing w:before="100" w:beforeAutospacing="1" w:after="100" w:afterAutospacing="1" w:line="240" w:lineRule="auto"/>
        <w:rPr>
          <w:rFonts w:ascii="Times New Roman" w:eastAsia="Times New Roman" w:hAnsi="Times New Roman" w:cs="Times New Roman"/>
          <w:sz w:val="24"/>
          <w:szCs w:val="24"/>
          <w:lang w:eastAsia="en-GB"/>
        </w:rPr>
      </w:pPr>
      <w:bookmarkStart w:id="0" w:name="_GoBack"/>
      <w:bookmarkEnd w:id="0"/>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b/>
          <w:bCs/>
          <w:sz w:val="27"/>
          <w:szCs w:val="27"/>
          <w:lang w:eastAsia="en-GB"/>
        </w:rPr>
        <w:t>Who does the GDPR affect?</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The GDPR not only applies to organisations located within the EU but it will also apply to organisations located outside of the EU if they offer goods or services to, or monitor the behaviour of, EU data subjects. It applies to all companies processing and holding the personal data of data subjects residing in the European Union, regardless of the company’s location.</w:t>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sz w:val="24"/>
          <w:szCs w:val="24"/>
          <w:lang w:eastAsia="en-GB"/>
        </w:rPr>
        <w:br/>
      </w:r>
    </w:p>
    <w:p w:rsidR="006247DC" w:rsidRPr="006247DC" w:rsidRDefault="006247DC" w:rsidP="006247DC">
      <w:pPr>
        <w:spacing w:before="100" w:beforeAutospacing="1" w:after="100" w:afterAutospacing="1" w:line="240" w:lineRule="auto"/>
        <w:rPr>
          <w:rFonts w:ascii="Times New Roman" w:eastAsia="Times New Roman" w:hAnsi="Times New Roman" w:cs="Times New Roman"/>
          <w:sz w:val="24"/>
          <w:szCs w:val="24"/>
          <w:lang w:eastAsia="en-GB"/>
        </w:rPr>
      </w:pPr>
      <w:r w:rsidRPr="006247DC">
        <w:rPr>
          <w:rFonts w:ascii="Trebuchet MS" w:eastAsia="Times New Roman" w:hAnsi="Trebuchet MS" w:cs="Times New Roman"/>
          <w:b/>
          <w:bCs/>
          <w:sz w:val="27"/>
          <w:szCs w:val="27"/>
          <w:lang w:eastAsia="en-GB"/>
        </w:rPr>
        <w:t>What constitutes personal data?</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Any information related to a natural person or ‘Data Subject’, that can be used to directly or indirectly identify the person. It can be anything from a name, a photo, an email address, bank details, posts on social networking websites, medical information, or a computer IP address.</w:t>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b/>
          <w:bCs/>
          <w:sz w:val="27"/>
          <w:szCs w:val="27"/>
          <w:lang w:eastAsia="en-GB"/>
        </w:rPr>
        <w:t>What is the difference between a data processor and a data controller?</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A controller is the entity that determines the purposes, conditions and means of the processing of personal data, while the processor is an entity which processes personal data on behalf of the controller.</w:t>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b/>
          <w:bCs/>
          <w:sz w:val="27"/>
          <w:szCs w:val="27"/>
          <w:lang w:eastAsia="en-GB"/>
        </w:rPr>
        <w:t>Do data processors need 'explicit' or 'unambiguous' data subject consent - and what is the difference?</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 xml:space="preserve">The conditions for consent have been strengthened, as companies will no longer be able to utilise long illegible terms and conditions full of legalese, as the request for consent must be given in an intelligible and easily accessible form, with the </w:t>
      </w:r>
      <w:r w:rsidRPr="006247DC">
        <w:rPr>
          <w:rFonts w:ascii="Trebuchet MS" w:eastAsia="Times New Roman" w:hAnsi="Trebuchet MS" w:cs="Times New Roman"/>
          <w:sz w:val="24"/>
          <w:szCs w:val="24"/>
          <w:lang w:eastAsia="en-GB"/>
        </w:rPr>
        <w:lastRenderedPageBreak/>
        <w:t xml:space="preserve">purpose for data processing attached to that consent - meaning it must be unambiguous. Consent must be clear and distinguishable from other matters and provided in an intelligible and easily accessible form, using clear and plain language. It must be as easy to withdraw consent as it is to give </w:t>
      </w:r>
      <w:proofErr w:type="gramStart"/>
      <w:r w:rsidRPr="006247DC">
        <w:rPr>
          <w:rFonts w:ascii="Trebuchet MS" w:eastAsia="Times New Roman" w:hAnsi="Trebuchet MS" w:cs="Times New Roman"/>
          <w:sz w:val="24"/>
          <w:szCs w:val="24"/>
          <w:lang w:eastAsia="en-GB"/>
        </w:rPr>
        <w:t>it.</w:t>
      </w:r>
      <w:r w:rsidRPr="006247DC">
        <w:rPr>
          <w:rFonts w:ascii="Arial" w:eastAsia="Times New Roman" w:hAnsi="Arial" w:cs="Arial"/>
          <w:sz w:val="24"/>
          <w:szCs w:val="24"/>
          <w:lang w:eastAsia="en-GB"/>
        </w:rPr>
        <w:t>​</w:t>
      </w:r>
      <w:proofErr w:type="gramEnd"/>
      <w:r w:rsidRPr="006247DC">
        <w:rPr>
          <w:rFonts w:ascii="Trebuchet MS" w:eastAsia="Times New Roman" w:hAnsi="Trebuchet MS" w:cs="Trebuchet MS"/>
          <w:sz w:val="24"/>
          <w:szCs w:val="24"/>
          <w:lang w:eastAsia="en-GB"/>
        </w:rPr>
        <w:t>  </w:t>
      </w:r>
      <w:r w:rsidRPr="006247DC">
        <w:rPr>
          <w:rFonts w:ascii="Trebuchet MS" w:eastAsia="Times New Roman" w:hAnsi="Trebuchet MS" w:cs="Times New Roman"/>
          <w:sz w:val="24"/>
          <w:szCs w:val="24"/>
          <w:lang w:eastAsia="en-GB"/>
        </w:rPr>
        <w:t>Explicit consent is required</w:t>
      </w:r>
      <w:r w:rsidRPr="006247DC">
        <w:rPr>
          <w:rFonts w:ascii="Trebuchet MS" w:eastAsia="Times New Roman" w:hAnsi="Trebuchet MS" w:cs="Trebuchet MS"/>
          <w:sz w:val="24"/>
          <w:szCs w:val="24"/>
          <w:lang w:eastAsia="en-GB"/>
        </w:rPr>
        <w:t> </w:t>
      </w:r>
      <w:r w:rsidRPr="006247DC">
        <w:rPr>
          <w:rFonts w:ascii="Trebuchet MS" w:eastAsia="Times New Roman" w:hAnsi="Trebuchet MS" w:cs="Times New Roman"/>
          <w:sz w:val="24"/>
          <w:szCs w:val="24"/>
          <w:lang w:eastAsia="en-GB"/>
        </w:rPr>
        <w:t>only</w:t>
      </w:r>
      <w:r w:rsidRPr="006247DC">
        <w:rPr>
          <w:rFonts w:ascii="Trebuchet MS" w:eastAsia="Times New Roman" w:hAnsi="Trebuchet MS" w:cs="Trebuchet MS"/>
          <w:sz w:val="24"/>
          <w:szCs w:val="24"/>
          <w:lang w:eastAsia="en-GB"/>
        </w:rPr>
        <w:t> </w:t>
      </w:r>
      <w:r w:rsidRPr="006247DC">
        <w:rPr>
          <w:rFonts w:ascii="Trebuchet MS" w:eastAsia="Times New Roman" w:hAnsi="Trebuchet MS" w:cs="Times New Roman"/>
          <w:sz w:val="24"/>
          <w:szCs w:val="24"/>
          <w:lang w:eastAsia="en-GB"/>
        </w:rPr>
        <w:t xml:space="preserve">for processing sensitive personal data - in this context, nothing short of </w:t>
      </w:r>
      <w:r w:rsidRPr="006247DC">
        <w:rPr>
          <w:rFonts w:ascii="Trebuchet MS" w:eastAsia="Times New Roman" w:hAnsi="Trebuchet MS" w:cs="Trebuchet MS"/>
          <w:sz w:val="24"/>
          <w:szCs w:val="24"/>
          <w:lang w:eastAsia="en-GB"/>
        </w:rPr>
        <w:t>“</w:t>
      </w:r>
      <w:r w:rsidRPr="006247DC">
        <w:rPr>
          <w:rFonts w:ascii="Trebuchet MS" w:eastAsia="Times New Roman" w:hAnsi="Trebuchet MS" w:cs="Times New Roman"/>
          <w:sz w:val="24"/>
          <w:szCs w:val="24"/>
          <w:lang w:eastAsia="en-GB"/>
        </w:rPr>
        <w:t>opt in</w:t>
      </w:r>
      <w:r w:rsidRPr="006247DC">
        <w:rPr>
          <w:rFonts w:ascii="Trebuchet MS" w:eastAsia="Times New Roman" w:hAnsi="Trebuchet MS" w:cs="Trebuchet MS"/>
          <w:sz w:val="24"/>
          <w:szCs w:val="24"/>
          <w:lang w:eastAsia="en-GB"/>
        </w:rPr>
        <w:t>”</w:t>
      </w:r>
      <w:r w:rsidRPr="006247DC">
        <w:rPr>
          <w:rFonts w:ascii="Trebuchet MS" w:eastAsia="Times New Roman" w:hAnsi="Trebuchet MS" w:cs="Times New Roman"/>
          <w:sz w:val="24"/>
          <w:szCs w:val="24"/>
          <w:lang w:eastAsia="en-GB"/>
        </w:rPr>
        <w:t xml:space="preserve"> will suffice. However, for</w:t>
      </w:r>
      <w:r w:rsidRPr="006247DC">
        <w:rPr>
          <w:rFonts w:ascii="Trebuchet MS" w:eastAsia="Times New Roman" w:hAnsi="Trebuchet MS" w:cs="Trebuchet MS"/>
          <w:sz w:val="24"/>
          <w:szCs w:val="24"/>
          <w:lang w:eastAsia="en-GB"/>
        </w:rPr>
        <w:t> </w:t>
      </w:r>
      <w:r w:rsidRPr="006247DC">
        <w:rPr>
          <w:rFonts w:ascii="Trebuchet MS" w:eastAsia="Times New Roman" w:hAnsi="Trebuchet MS" w:cs="Times New Roman"/>
          <w:sz w:val="24"/>
          <w:szCs w:val="24"/>
          <w:lang w:eastAsia="en-GB"/>
        </w:rPr>
        <w:t xml:space="preserve">non-sensitive data, </w:t>
      </w:r>
      <w:r w:rsidRPr="006247DC">
        <w:rPr>
          <w:rFonts w:ascii="Trebuchet MS" w:eastAsia="Times New Roman" w:hAnsi="Trebuchet MS" w:cs="Trebuchet MS"/>
          <w:sz w:val="24"/>
          <w:szCs w:val="24"/>
          <w:lang w:eastAsia="en-GB"/>
        </w:rPr>
        <w:t>“</w:t>
      </w:r>
      <w:r w:rsidRPr="006247DC">
        <w:rPr>
          <w:rFonts w:ascii="Trebuchet MS" w:eastAsia="Times New Roman" w:hAnsi="Trebuchet MS" w:cs="Times New Roman"/>
          <w:sz w:val="24"/>
          <w:szCs w:val="24"/>
          <w:lang w:eastAsia="en-GB"/>
        </w:rPr>
        <w:t>unambiguous</w:t>
      </w:r>
      <w:r w:rsidRPr="006247DC">
        <w:rPr>
          <w:rFonts w:ascii="Trebuchet MS" w:eastAsia="Times New Roman" w:hAnsi="Trebuchet MS" w:cs="Trebuchet MS"/>
          <w:sz w:val="24"/>
          <w:szCs w:val="24"/>
          <w:lang w:eastAsia="en-GB"/>
        </w:rPr>
        <w:t>”</w:t>
      </w:r>
      <w:r w:rsidRPr="006247DC">
        <w:rPr>
          <w:rFonts w:ascii="Trebuchet MS" w:eastAsia="Times New Roman" w:hAnsi="Trebuchet MS" w:cs="Times New Roman"/>
          <w:sz w:val="24"/>
          <w:szCs w:val="24"/>
          <w:lang w:eastAsia="en-GB"/>
        </w:rPr>
        <w:t xml:space="preserve"> consent will suffice.</w:t>
      </w:r>
    </w:p>
    <w:p w:rsidR="006247DC" w:rsidRPr="006247DC" w:rsidRDefault="006247DC" w:rsidP="006247DC">
      <w:pPr>
        <w:spacing w:before="100" w:beforeAutospacing="1" w:after="100" w:afterAutospacing="1" w:line="240" w:lineRule="auto"/>
        <w:rPr>
          <w:rFonts w:ascii="Times New Roman" w:eastAsia="Times New Roman" w:hAnsi="Times New Roman" w:cs="Times New Roman"/>
          <w:sz w:val="24"/>
          <w:szCs w:val="24"/>
          <w:lang w:eastAsia="en-GB"/>
        </w:rPr>
      </w:pPr>
    </w:p>
    <w:p w:rsidR="006247DC" w:rsidRPr="006247DC" w:rsidRDefault="006247DC" w:rsidP="006247DC">
      <w:pPr>
        <w:spacing w:before="100" w:beforeAutospacing="1" w:after="100" w:afterAutospacing="1" w:line="240" w:lineRule="auto"/>
        <w:rPr>
          <w:rFonts w:ascii="Times New Roman" w:eastAsia="Times New Roman" w:hAnsi="Times New Roman" w:cs="Times New Roman"/>
          <w:sz w:val="24"/>
          <w:szCs w:val="24"/>
          <w:lang w:eastAsia="en-GB"/>
        </w:rPr>
      </w:pP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b/>
          <w:bCs/>
          <w:sz w:val="27"/>
          <w:szCs w:val="27"/>
          <w:lang w:eastAsia="en-GB"/>
        </w:rPr>
        <w:t>Does my business need to appoint a Data Protection Officer (DPO)?</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 xml:space="preserve">DPOs </w:t>
      </w:r>
      <w:proofErr w:type="spellStart"/>
      <w:r w:rsidRPr="006247DC">
        <w:rPr>
          <w:rFonts w:ascii="Trebuchet MS" w:eastAsia="Times New Roman" w:hAnsi="Trebuchet MS" w:cs="Times New Roman"/>
          <w:sz w:val="24"/>
          <w:szCs w:val="24"/>
          <w:lang w:eastAsia="en-GB"/>
        </w:rPr>
        <w:t>mustbe</w:t>
      </w:r>
      <w:proofErr w:type="spellEnd"/>
      <w:r w:rsidRPr="006247DC">
        <w:rPr>
          <w:rFonts w:ascii="Trebuchet MS" w:eastAsia="Times New Roman" w:hAnsi="Trebuchet MS" w:cs="Times New Roman"/>
          <w:sz w:val="24"/>
          <w:szCs w:val="24"/>
          <w:lang w:eastAsia="en-GB"/>
        </w:rPr>
        <w:t xml:space="preserve"> appointed in the case of: (a) public authorities, (b) organizations that engage in large scale systematic monitoring, or (c) organizations that engage in large scale processing of sensitive personal data (Art. 37).  If your organization doesn’t fall into one of these categories, then you do not need to appoint a DPO.</w:t>
      </w:r>
    </w:p>
    <w:p w:rsidR="006247DC" w:rsidRPr="006247DC" w:rsidRDefault="006247DC" w:rsidP="006247DC">
      <w:pPr>
        <w:spacing w:before="100" w:beforeAutospacing="1" w:after="100" w:afterAutospacing="1" w:line="240" w:lineRule="auto"/>
        <w:rPr>
          <w:rFonts w:ascii="Times New Roman" w:eastAsia="Times New Roman" w:hAnsi="Times New Roman" w:cs="Times New Roman"/>
          <w:sz w:val="24"/>
          <w:szCs w:val="24"/>
          <w:lang w:eastAsia="en-GB"/>
        </w:rPr>
      </w:pP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b/>
          <w:bCs/>
          <w:sz w:val="27"/>
          <w:szCs w:val="27"/>
          <w:lang w:eastAsia="en-GB"/>
        </w:rPr>
        <w:t>How does the GDPR affect policy surrounding data breaches?</w:t>
      </w:r>
      <w:r w:rsidRPr="006247DC">
        <w:rPr>
          <w:rFonts w:ascii="Trebuchet MS" w:eastAsia="Times New Roman" w:hAnsi="Trebuchet MS" w:cs="Times New Roman"/>
          <w:b/>
          <w:bCs/>
          <w:sz w:val="27"/>
          <w:szCs w:val="27"/>
          <w:lang w:eastAsia="en-GB"/>
        </w:rPr>
        <w:br/>
      </w:r>
      <w:r w:rsidRPr="006247DC">
        <w:rPr>
          <w:rFonts w:ascii="Trebuchet MS" w:eastAsia="Times New Roman" w:hAnsi="Trebuchet MS" w:cs="Times New Roman"/>
          <w:sz w:val="24"/>
          <w:szCs w:val="24"/>
          <w:lang w:eastAsia="en-GB"/>
        </w:rPr>
        <w:t>Proposed regulations surrounding data breaches primarily relate to the notification policies of companies that have been breached. Data breaches which may pose a risk to individuals must be notified to the DPA within 72 hours and to affected individuals without undue delay. </w:t>
      </w:r>
      <w:r w:rsidRPr="006247DC">
        <w:rPr>
          <w:rFonts w:ascii="Trebuchet MS" w:eastAsia="Times New Roman" w:hAnsi="Trebuchet MS" w:cs="Times New Roman"/>
          <w:sz w:val="24"/>
          <w:szCs w:val="24"/>
          <w:lang w:eastAsia="en-GB"/>
        </w:rPr>
        <w:br/>
      </w:r>
      <w:r w:rsidRPr="006247DC">
        <w:rPr>
          <w:rFonts w:ascii="Trebuchet MS" w:eastAsia="Times New Roman" w:hAnsi="Trebuchet MS" w:cs="Times New Roman"/>
          <w:sz w:val="24"/>
          <w:szCs w:val="24"/>
          <w:lang w:eastAsia="en-GB"/>
        </w:rPr>
        <w:br/>
      </w:r>
    </w:p>
    <w:p w:rsidR="00CB6141" w:rsidRDefault="00CB6141"/>
    <w:sectPr w:rsidR="00CB61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12186"/>
    <w:multiLevelType w:val="multilevel"/>
    <w:tmpl w:val="B7DC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D61F1A"/>
    <w:multiLevelType w:val="multilevel"/>
    <w:tmpl w:val="B17EC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7DC"/>
    <w:rsid w:val="006247DC"/>
    <w:rsid w:val="007F7115"/>
    <w:rsid w:val="00CB61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5F818"/>
  <w15:chartTrackingRefBased/>
  <w15:docId w15:val="{CD07AEE6-C19D-48CA-9504-01F710B7F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71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F7115"/>
    <w:rPr>
      <w:b/>
      <w:bCs/>
    </w:rPr>
  </w:style>
  <w:style w:type="character" w:styleId="Emphasis">
    <w:name w:val="Emphasis"/>
    <w:basedOn w:val="DefaultParagraphFont"/>
    <w:uiPriority w:val="20"/>
    <w:qFormat/>
    <w:rsid w:val="007F71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179845">
      <w:bodyDiv w:val="1"/>
      <w:marLeft w:val="0"/>
      <w:marRight w:val="0"/>
      <w:marTop w:val="0"/>
      <w:marBottom w:val="0"/>
      <w:divBdr>
        <w:top w:val="none" w:sz="0" w:space="0" w:color="auto"/>
        <w:left w:val="none" w:sz="0" w:space="0" w:color="auto"/>
        <w:bottom w:val="none" w:sz="0" w:space="0" w:color="auto"/>
        <w:right w:val="none" w:sz="0" w:space="0" w:color="auto"/>
      </w:divBdr>
    </w:div>
    <w:div w:id="2080053670">
      <w:bodyDiv w:val="1"/>
      <w:marLeft w:val="0"/>
      <w:marRight w:val="0"/>
      <w:marTop w:val="0"/>
      <w:marBottom w:val="0"/>
      <w:divBdr>
        <w:top w:val="none" w:sz="0" w:space="0" w:color="auto"/>
        <w:left w:val="none" w:sz="0" w:space="0" w:color="auto"/>
        <w:bottom w:val="none" w:sz="0" w:space="0" w:color="auto"/>
        <w:right w:val="none" w:sz="0" w:space="0" w:color="auto"/>
      </w:divBdr>
      <w:divsChild>
        <w:div w:id="11535657">
          <w:marLeft w:val="0"/>
          <w:marRight w:val="0"/>
          <w:marTop w:val="100"/>
          <w:marBottom w:val="100"/>
          <w:divBdr>
            <w:top w:val="none" w:sz="0" w:space="0" w:color="auto"/>
            <w:left w:val="none" w:sz="0" w:space="0" w:color="auto"/>
            <w:bottom w:val="none" w:sz="0" w:space="0" w:color="auto"/>
            <w:right w:val="none" w:sz="0" w:space="0" w:color="auto"/>
          </w:divBdr>
          <w:divsChild>
            <w:div w:id="1671253244">
              <w:marLeft w:val="0"/>
              <w:marRight w:val="0"/>
              <w:marTop w:val="0"/>
              <w:marBottom w:val="0"/>
              <w:divBdr>
                <w:top w:val="none" w:sz="0" w:space="0" w:color="auto"/>
                <w:left w:val="none" w:sz="0" w:space="0" w:color="auto"/>
                <w:bottom w:val="none" w:sz="0" w:space="0" w:color="auto"/>
                <w:right w:val="none" w:sz="0" w:space="0" w:color="auto"/>
              </w:divBdr>
              <w:divsChild>
                <w:div w:id="912272512">
                  <w:marLeft w:val="0"/>
                  <w:marRight w:val="0"/>
                  <w:marTop w:val="0"/>
                  <w:marBottom w:val="0"/>
                  <w:divBdr>
                    <w:top w:val="none" w:sz="0" w:space="0" w:color="auto"/>
                    <w:left w:val="none" w:sz="0" w:space="0" w:color="auto"/>
                    <w:bottom w:val="none" w:sz="0" w:space="0" w:color="auto"/>
                    <w:right w:val="none" w:sz="0" w:space="0" w:color="auto"/>
                  </w:divBdr>
                  <w:divsChild>
                    <w:div w:id="19597217">
                      <w:marLeft w:val="0"/>
                      <w:marRight w:val="0"/>
                      <w:marTop w:val="0"/>
                      <w:marBottom w:val="0"/>
                      <w:divBdr>
                        <w:top w:val="none" w:sz="0" w:space="0" w:color="auto"/>
                        <w:left w:val="none" w:sz="0" w:space="0" w:color="auto"/>
                        <w:bottom w:val="none" w:sz="0" w:space="0" w:color="auto"/>
                        <w:right w:val="none" w:sz="0" w:space="0" w:color="auto"/>
                      </w:divBdr>
                    </w:div>
                  </w:divsChild>
                </w:div>
                <w:div w:id="654409274">
                  <w:marLeft w:val="0"/>
                  <w:marRight w:val="0"/>
                  <w:marTop w:val="0"/>
                  <w:marBottom w:val="0"/>
                  <w:divBdr>
                    <w:top w:val="none" w:sz="0" w:space="0" w:color="auto"/>
                    <w:left w:val="none" w:sz="0" w:space="0" w:color="auto"/>
                    <w:bottom w:val="none" w:sz="0" w:space="0" w:color="auto"/>
                    <w:right w:val="none" w:sz="0" w:space="0" w:color="auto"/>
                  </w:divBdr>
                  <w:divsChild>
                    <w:div w:id="816608926">
                      <w:marLeft w:val="0"/>
                      <w:marRight w:val="0"/>
                      <w:marTop w:val="0"/>
                      <w:marBottom w:val="0"/>
                      <w:divBdr>
                        <w:top w:val="none" w:sz="0" w:space="0" w:color="auto"/>
                        <w:left w:val="none" w:sz="0" w:space="0" w:color="auto"/>
                        <w:bottom w:val="none" w:sz="0" w:space="0" w:color="auto"/>
                        <w:right w:val="none" w:sz="0" w:space="0" w:color="auto"/>
                      </w:divBdr>
                    </w:div>
                  </w:divsChild>
                </w:div>
                <w:div w:id="1551959720">
                  <w:marLeft w:val="0"/>
                  <w:marRight w:val="0"/>
                  <w:marTop w:val="0"/>
                  <w:marBottom w:val="0"/>
                  <w:divBdr>
                    <w:top w:val="none" w:sz="0" w:space="0" w:color="auto"/>
                    <w:left w:val="none" w:sz="0" w:space="0" w:color="auto"/>
                    <w:bottom w:val="none" w:sz="0" w:space="0" w:color="auto"/>
                    <w:right w:val="none" w:sz="0" w:space="0" w:color="auto"/>
                  </w:divBdr>
                  <w:divsChild>
                    <w:div w:id="36525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1052</Words>
  <Characters>5997</Characters>
  <Application>Microsoft Office Word</Application>
  <DocSecurity>0</DocSecurity>
  <Lines>49</Lines>
  <Paragraphs>14</Paragraphs>
  <ScaleCrop>false</ScaleCrop>
  <Company/>
  <LinksUpToDate>false</LinksUpToDate>
  <CharactersWithSpaces>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Woottum, Ravishankar (MPA)</dc:creator>
  <cp:keywords/>
  <dc:description/>
  <cp:lastModifiedBy>Woottum, Ravishankar (MPA)</cp:lastModifiedBy>
  <cp:revision>2</cp:revision>
  <dcterms:created xsi:type="dcterms:W3CDTF">2018-03-09T11:07:00Z</dcterms:created>
  <dcterms:modified xsi:type="dcterms:W3CDTF">2018-03-09T11:13:00Z</dcterms:modified>
</cp:coreProperties>
</file>